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8D17D0"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A16DF9">
        <w:rPr>
          <w:rFonts w:cs="Arial"/>
          <w:b/>
          <w:sz w:val="22"/>
          <w:lang w:val="en-US"/>
        </w:rPr>
        <w:t>3GPP TSG-RAN WG2 #11</w:t>
      </w:r>
      <w:r>
        <w:rPr>
          <w:rFonts w:cs="Arial"/>
          <w:b/>
          <w:sz w:val="22"/>
          <w:lang w:val="en-US"/>
        </w:rPr>
        <w:t>2-3</w:t>
      </w:r>
      <w:r w:rsidRPr="00A16DF9">
        <w:rPr>
          <w:rFonts w:cs="Arial"/>
          <w:b/>
          <w:i/>
          <w:sz w:val="22"/>
          <w:lang w:val="en-US"/>
        </w:rPr>
        <w:tab/>
      </w:r>
      <w:r>
        <w:rPr>
          <w:rFonts w:cs="Arial"/>
          <w:b/>
          <w:i/>
          <w:sz w:val="22"/>
          <w:lang w:val="en-US"/>
        </w:rPr>
        <w:t>R2-21</w:t>
      </w:r>
      <w:r w:rsidR="00756081">
        <w:rPr>
          <w:rFonts w:cs="Arial"/>
          <w:b/>
          <w:i/>
          <w:sz w:val="22"/>
          <w:lang w:val="en-US" w:eastAsia="zh-CN"/>
        </w:rPr>
        <w:t>05033</w:t>
      </w:r>
    </w:p>
    <w:p w:rsidR="008D17D0" w:rsidRDefault="006D77A2" w:rsidP="008D17D0">
      <w:pPr>
        <w:tabs>
          <w:tab w:val="left" w:pos="1701"/>
          <w:tab w:val="right" w:pos="9639"/>
        </w:tabs>
        <w:spacing w:after="0"/>
        <w:rPr>
          <w:rFonts w:cs="Arial"/>
          <w:b/>
          <w:color w:val="000000"/>
          <w:kern w:val="2"/>
          <w:sz w:val="24"/>
        </w:rPr>
      </w:pPr>
      <w:r>
        <w:rPr>
          <w:rFonts w:cs="Arial"/>
          <w:b/>
          <w:sz w:val="22"/>
          <w:szCs w:val="22"/>
          <w:lang w:val="en-US"/>
        </w:rPr>
        <w:t>113-bis-</w:t>
      </w:r>
      <w:r w:rsidR="008D17D0">
        <w:rPr>
          <w:rFonts w:cs="Arial"/>
          <w:b/>
          <w:sz w:val="22"/>
          <w:szCs w:val="22"/>
          <w:lang w:val="en-US"/>
        </w:rPr>
        <w:t>E-meeting, 12</w:t>
      </w:r>
      <w:r w:rsidR="008D17D0">
        <w:rPr>
          <w:rFonts w:cs="Arial"/>
          <w:b/>
          <w:sz w:val="22"/>
          <w:szCs w:val="22"/>
          <w:vertAlign w:val="superscript"/>
          <w:lang w:val="en-US"/>
        </w:rPr>
        <w:t>th</w:t>
      </w:r>
      <w:r w:rsidR="008D17D0">
        <w:rPr>
          <w:rFonts w:cs="Arial"/>
          <w:b/>
          <w:sz w:val="22"/>
          <w:szCs w:val="22"/>
          <w:lang w:val="en-US"/>
        </w:rPr>
        <w:t>~20</w:t>
      </w:r>
      <w:r w:rsidR="008D17D0" w:rsidRPr="008D17D0">
        <w:rPr>
          <w:rFonts w:cs="Arial"/>
          <w:b/>
          <w:sz w:val="22"/>
          <w:szCs w:val="22"/>
          <w:vertAlign w:val="superscript"/>
          <w:lang w:val="en-US"/>
        </w:rPr>
        <w:t>th</w:t>
      </w:r>
      <w:r w:rsidR="008D17D0">
        <w:rPr>
          <w:rFonts w:cs="Arial"/>
          <w:b/>
          <w:sz w:val="22"/>
          <w:szCs w:val="22"/>
          <w:lang w:val="en-US"/>
        </w:rPr>
        <w:t xml:space="preserve"> </w:t>
      </w:r>
      <w:r>
        <w:rPr>
          <w:rFonts w:cs="Arial"/>
          <w:b/>
          <w:sz w:val="22"/>
          <w:szCs w:val="22"/>
          <w:lang w:val="en-US"/>
        </w:rPr>
        <w:t>April</w:t>
      </w:r>
      <w:r w:rsidR="008D17D0">
        <w:rPr>
          <w:rFonts w:cs="Arial"/>
          <w:b/>
          <w:sz w:val="22"/>
          <w:szCs w:val="22"/>
          <w:lang w:val="en-US"/>
        </w:rPr>
        <w:t xml:space="preserve"> 2021</w:t>
      </w:r>
      <w:r w:rsidR="008D17D0">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792366">
        <w:rPr>
          <w:sz w:val="22"/>
          <w:szCs w:val="22"/>
        </w:rPr>
        <w:t>8.17.2</w:t>
      </w:r>
      <w:bookmarkStart w:id="4" w:name="_GoBack"/>
      <w:bookmarkEnd w:id="4"/>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t xml:space="preserve">Discussion on </w:t>
      </w:r>
      <w:r w:rsidR="009F6FED">
        <w:rPr>
          <w:sz w:val="22"/>
          <w:szCs w:val="22"/>
        </w:rPr>
        <w:t>L1/2 centric mobility</w:t>
      </w:r>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5" w:name="_Ref488331639"/>
      <w:r>
        <w:t>Introduction</w:t>
      </w:r>
      <w:bookmarkEnd w:id="5"/>
    </w:p>
    <w:p w:rsidR="008D17D0" w:rsidRDefault="009B6DC7" w:rsidP="008D17D0">
      <w:pPr>
        <w:pStyle w:val="a7"/>
        <w:spacing w:before="120"/>
      </w:pPr>
      <w:r>
        <w:t>In RAN2#113bis meeting, two RAN1 LS</w:t>
      </w:r>
      <w:r>
        <w:rPr>
          <w:rFonts w:hint="eastAsia"/>
        </w:rPr>
        <w:t>[</w:t>
      </w:r>
      <w:r>
        <w:t>1][2] triggered discussion on two scenarios, namely MTRP-like scenario and HO-Like scenario</w:t>
      </w:r>
      <w:r w:rsidR="00A223C4">
        <w:t xml:space="preserve"> and potential RAN2 impact correspondingly. The discussion can’t boil down since there is no common understanding. Hence RAN2 are not able to answer questions listed in the LS. Companies still have different view in the email discussion “</w:t>
      </w:r>
      <w:r w:rsidR="00A223C4" w:rsidRPr="00A223C4">
        <w:t>[Post113bis-e][061][feMIMO] InterCell mTRP and L1L2 mobility (Samsung)</w:t>
      </w:r>
      <w:r w:rsidR="00A223C4">
        <w:t>” afterwards. Nevertheless it seem</w:t>
      </w:r>
      <w:r w:rsidR="00813679">
        <w:t>s</w:t>
      </w:r>
      <w:r w:rsidR="00A223C4">
        <w:t xml:space="preserve"> majority companies agree that Rel17 should focus on both scenarios for intra-DU and intra-frequency case. In this contribution we start with modelling issue and then try to figure out what is potential RAN</w:t>
      </w:r>
      <w:r w:rsidR="00651A5A">
        <w:t>2 i</w:t>
      </w:r>
      <w:r w:rsidR="00650453">
        <w:t>mpact based on assumed model by</w:t>
      </w:r>
      <w:r w:rsidR="00651A5A">
        <w:t xml:space="preserve"> focus</w:t>
      </w:r>
      <w:r w:rsidR="00650453">
        <w:t>ing</w:t>
      </w:r>
      <w:r w:rsidR="00651A5A">
        <w:t xml:space="preserve"> on intra-DU/frequency use case.</w:t>
      </w:r>
    </w:p>
    <w:p w:rsidR="008D17D0" w:rsidRDefault="008D17D0" w:rsidP="008D17D0">
      <w:pPr>
        <w:pStyle w:val="1"/>
      </w:pPr>
      <w:r>
        <w:rPr>
          <w:rFonts w:hint="eastAsia"/>
        </w:rPr>
        <w:t>D</w:t>
      </w:r>
      <w:r>
        <w:t>iscussion</w:t>
      </w:r>
    </w:p>
    <w:p w:rsidR="008D17D0" w:rsidRDefault="00A223C4" w:rsidP="00536369">
      <w:pPr>
        <w:pStyle w:val="2"/>
      </w:pPr>
      <w:r>
        <w:t>Modelling issue</w:t>
      </w:r>
    </w:p>
    <w:p w:rsidR="00762682" w:rsidRDefault="00762682" w:rsidP="002B48D5">
      <w:r w:rsidRPr="00762682">
        <w:t xml:space="preserve">The </w:t>
      </w:r>
      <w:r>
        <w:t>term “non-serving cell” and “inter-cell mobility” in RAN1 LS[2] gives impression that in both scenarios UE are connected to two different cell</w:t>
      </w:r>
      <w:r w:rsidR="00F24A70">
        <w:t>s</w:t>
      </w:r>
      <w:r>
        <w:t xml:space="preserve">. </w:t>
      </w:r>
      <w:r w:rsidR="00F24A70">
        <w:t xml:space="preserve">But it is misleading </w:t>
      </w:r>
      <w:r w:rsidR="00F24A70">
        <w:sym w:font="Wingdings" w:char="F04C"/>
      </w:r>
    </w:p>
    <w:p w:rsidR="00762682" w:rsidRDefault="00762682" w:rsidP="00762682">
      <w:pPr>
        <w:jc w:val="center"/>
      </w:pPr>
      <w:r w:rsidRPr="00B371B6">
        <w:rPr>
          <w:rFonts w:eastAsia="等线"/>
          <w:noProof/>
          <w:sz w:val="22"/>
          <w:szCs w:val="22"/>
          <w:lang w:val="en-US"/>
        </w:rPr>
        <w:drawing>
          <wp:inline distT="0" distB="0" distL="0" distR="0" wp14:anchorId="49A8C13C" wp14:editId="6A09EB6B">
            <wp:extent cx="2602922" cy="1212680"/>
            <wp:effectExtent l="0" t="0" r="0" b="6985"/>
            <wp:docPr id="8" name="Picture 2"/>
            <wp:cNvGraphicFramePr/>
            <a:graphic xmlns:a="http://schemas.openxmlformats.org/drawingml/2006/main">
              <a:graphicData uri="http://schemas.openxmlformats.org/drawingml/2006/picture">
                <pic:pic xmlns:pic="http://schemas.openxmlformats.org/drawingml/2006/picture">
                  <pic:nvPicPr>
                    <pic:cNvPr id="8" name="Picture 2"/>
                    <pic:cNvPicPr/>
                  </pic:nvPicPr>
                  <pic:blipFill>
                    <a:blip r:embed="rId7">
                      <a:extLst>
                        <a:ext uri="{28A0092B-C50C-407E-A947-70E740481C1C}">
                          <a14:useLocalDpi xmlns:a14="http://schemas.microsoft.com/office/drawing/2010/main" val="0"/>
                        </a:ext>
                      </a:extLst>
                    </a:blip>
                    <a:srcRect/>
                    <a:stretch>
                      <a:fillRect/>
                    </a:stretch>
                  </pic:blipFill>
                  <pic:spPr>
                    <a:xfrm>
                      <a:off x="0" y="0"/>
                      <a:ext cx="2692350" cy="1254344"/>
                    </a:xfrm>
                    <a:prstGeom prst="rect">
                      <a:avLst/>
                    </a:prstGeom>
                    <a:noFill/>
                  </pic:spPr>
                </pic:pic>
              </a:graphicData>
            </a:graphic>
          </wp:inline>
        </w:drawing>
      </w:r>
    </w:p>
    <w:p w:rsidR="00762682" w:rsidRDefault="00762682" w:rsidP="00762682">
      <w:pPr>
        <w:jc w:val="center"/>
      </w:pPr>
      <w:r>
        <w:rPr>
          <w:rFonts w:hint="eastAsia"/>
        </w:rPr>
        <w:t>F</w:t>
      </w:r>
      <w:r>
        <w:t>igure 1 MTRP-Like scenario (refer to UE A) and HO-Like scenario (refer to UE B)</w:t>
      </w:r>
      <w:r w:rsidR="00FD2163">
        <w:t xml:space="preserve"> [3]</w:t>
      </w:r>
    </w:p>
    <w:p w:rsidR="002B48D5" w:rsidRDefault="00FD2163" w:rsidP="002B48D5">
      <w:r>
        <w:t>Our understanding is the intention for UE to connect two TRPs with different PCI is to enable more beams for more flexible beam management since the total beams are limited when pertained to one PCI</w:t>
      </w:r>
      <w:r w:rsidR="00D856E0">
        <w:t xml:space="preserve"> i.e. </w:t>
      </w:r>
      <w:r w:rsidR="00EE503D">
        <w:t xml:space="preserve">the intention is </w:t>
      </w:r>
      <w:r w:rsidR="00D856E0">
        <w:t>to extend beam management framework from one PCI to two PCIs</w:t>
      </w:r>
      <w:r>
        <w:t>.</w:t>
      </w:r>
      <w:r w:rsidR="00651A5A">
        <w:t xml:space="preserve"> RAN1 LS[2] says “</w:t>
      </w:r>
      <w:r w:rsidR="00651A5A" w:rsidRPr="00651A5A">
        <w:rPr>
          <w:i/>
        </w:rPr>
        <w:t>RAN1 is currently investigating TCI state update (beam indication) for DL reception from and UL transmission to non-serving cell(s) – at least on UE-dedicated PDSCH, PDCCH, PUSCH, and PUCCH</w:t>
      </w:r>
      <w:r w:rsidR="00651A5A">
        <w:t xml:space="preserve">”. </w:t>
      </w:r>
      <w:r w:rsidR="00923240">
        <w:t>I</w:t>
      </w:r>
      <w:r w:rsidR="00D856E0">
        <w:t>n MTRP-Like scenario</w:t>
      </w:r>
      <w:r w:rsidR="00923240">
        <w:t xml:space="preserve"> </w:t>
      </w:r>
      <w:r w:rsidR="00D856E0">
        <w:t xml:space="preserve">UE A can transmit/receive to/from two TRPs simultaneously. </w:t>
      </w:r>
      <w:r w:rsidR="00923240">
        <w:t>In HO-Like scenario UE can transmit/receive to/from one TRP. T</w:t>
      </w:r>
      <w:r w:rsidR="00D856E0">
        <w:t xml:space="preserve">here are two options to model </w:t>
      </w:r>
      <w:r w:rsidR="00EE503D">
        <w:t>TRP A and TRP</w:t>
      </w:r>
      <w:r w:rsidR="00D856E0">
        <w:t xml:space="preserve"> B from RAN2 point of view in Figure 1:</w:t>
      </w:r>
    </w:p>
    <w:p w:rsidR="00D856E0" w:rsidRDefault="00B0351C" w:rsidP="002B48D5">
      <w:r>
        <w:t>Option 1: TRP A and TRP</w:t>
      </w:r>
      <w:r w:rsidR="00D856E0">
        <w:t xml:space="preserve"> B are modelled as TRPs transmitting reference signal pertained to different PCI but one single cell. </w:t>
      </w:r>
    </w:p>
    <w:p w:rsidR="00D856E0" w:rsidRPr="00762682" w:rsidRDefault="00D856E0" w:rsidP="002B48D5">
      <w:r>
        <w:t xml:space="preserve">Option 2: </w:t>
      </w:r>
      <w:r w:rsidR="00B0351C">
        <w:t>TRP A and TRP</w:t>
      </w:r>
      <w:r>
        <w:t xml:space="preserve"> B are modelled as two cells</w:t>
      </w:r>
      <w:r w:rsidR="00B0351C">
        <w:t xml:space="preserve"> (and are called cell A and cell B afterwards)</w:t>
      </w:r>
    </w:p>
    <w:p w:rsidR="00383F0C" w:rsidRDefault="00D856E0" w:rsidP="00872D1A">
      <w:r w:rsidRPr="00D856E0">
        <w:rPr>
          <w:rFonts w:hint="eastAsia"/>
        </w:rPr>
        <w:t>O</w:t>
      </w:r>
      <w:r w:rsidRPr="00D856E0">
        <w:t>ption1</w:t>
      </w:r>
      <w:r>
        <w:t xml:space="preserve"> means</w:t>
      </w:r>
      <w:r w:rsidR="00B0351C">
        <w:t>,</w:t>
      </w:r>
      <w:r>
        <w:t xml:space="preserve"> </w:t>
      </w:r>
      <w:r w:rsidR="009D576B">
        <w:t xml:space="preserve">apart from beam management relevant configuration e.g. reference signal (SSB/CSI-RS), TCI states, measurement/reporting of reference signal, BFD and BFR etc., all other RRC parameters are exactly the same between TRP A and TRP B. When UE </w:t>
      </w:r>
      <w:r w:rsidR="00B501E4">
        <w:t>is connected to TRP A or TRP B or both</w:t>
      </w:r>
      <w:r w:rsidR="00B0351C">
        <w:t>, UE is always</w:t>
      </w:r>
      <w:r w:rsidR="009D576B">
        <w:t xml:space="preserve"> connected to same cell from RAN2 point of view.</w:t>
      </w:r>
      <w:r w:rsidR="00F23D24">
        <w:t xml:space="preserve"> It is similar to Rel16 MTPR operation where different TRPs still transmit same PCI but in different geographical place.</w:t>
      </w:r>
      <w:r w:rsidR="00AE1AB8">
        <w:t xml:space="preserve"> In MTRP-Like scenario, UE can connect to either </w:t>
      </w:r>
      <w:r w:rsidR="00AE1AB8">
        <w:lastRenderedPageBreak/>
        <w:t>TRP A or TRP B or both. In HO-Like scenario, UE can only connect to TRP A or TRP B i.e. switch between TRP A or TRP B will always happen. In both scenario switch between TRP A and TRP B is actually normal beam switch hence it can be handled by physical layer and transparent for L2 and L3.</w:t>
      </w:r>
    </w:p>
    <w:p w:rsidR="00B501E4" w:rsidRDefault="00B501E4" w:rsidP="00B501E4">
      <w:pPr>
        <w:jc w:val="center"/>
      </w:pPr>
      <w:r>
        <w:object w:dxaOrig="4011" w:dyaOrig="7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179.55pt" o:ole="">
            <v:imagedata r:id="rId8" o:title=""/>
          </v:shape>
          <o:OLEObject Type="Embed" ProgID="Visio.Drawing.15" ShapeID="_x0000_i1025" DrawAspect="Content" ObjectID="_1682170430" r:id="rId9"/>
        </w:object>
      </w:r>
    </w:p>
    <w:p w:rsidR="00B501E4" w:rsidRDefault="00B501E4" w:rsidP="00B501E4">
      <w:pPr>
        <w:jc w:val="center"/>
      </w:pPr>
      <w:r>
        <w:t>Figure 2: UP model of option 1</w:t>
      </w:r>
    </w:p>
    <w:p w:rsidR="00F23D24" w:rsidRDefault="00F23D24" w:rsidP="00872D1A">
      <w:r>
        <w:rPr>
          <w:rFonts w:hint="eastAsia"/>
        </w:rPr>
        <w:t>O</w:t>
      </w:r>
      <w:r>
        <w:t xml:space="preserve">ption 2 means all RRC parameters </w:t>
      </w:r>
      <w:r w:rsidR="00714B99">
        <w:t xml:space="preserve">including beam management relevant configuration </w:t>
      </w:r>
      <w:r>
        <w:t>can be different between cell A and cell B with some limitation e.g. they should be intra-frequency carrier with same numerology since they are different cell</w:t>
      </w:r>
      <w:r w:rsidR="00B0351C">
        <w:t>s</w:t>
      </w:r>
      <w:r>
        <w:t xml:space="preserve"> by the nature.</w:t>
      </w:r>
      <w:r w:rsidR="00AE1AB8">
        <w:t xml:space="preserve"> So basically TRP A and TRP B are separate cells from RAN2 point of view. In MTRP-Like scenario, UE can connect to either cell A or cell B or both. In HO-Like UE can connect to only cell A or cell B i.e. switch between cell A and cell B will always happen. In both scenarios RRC layer procedure may be needed to enable cell role change.</w:t>
      </w:r>
    </w:p>
    <w:p w:rsidR="00AE1AB8" w:rsidRDefault="00AE1AB8" w:rsidP="00AE1AB8">
      <w:pPr>
        <w:jc w:val="center"/>
      </w:pPr>
      <w:r>
        <w:object w:dxaOrig="4301" w:dyaOrig="7731">
          <v:shape id="_x0000_i1026" type="#_x0000_t75" style="width:106.2pt;height:190.05pt" o:ole="">
            <v:imagedata r:id="rId10" o:title=""/>
          </v:shape>
          <o:OLEObject Type="Embed" ProgID="Visio.Drawing.15" ShapeID="_x0000_i1026" DrawAspect="Content" ObjectID="_1682170431" r:id="rId11"/>
        </w:object>
      </w:r>
    </w:p>
    <w:p w:rsidR="00AE1AB8" w:rsidRDefault="00AE1AB8" w:rsidP="00AE1AB8">
      <w:pPr>
        <w:jc w:val="center"/>
      </w:pPr>
      <w:r>
        <w:t>Figure 3: the UP model of option2</w:t>
      </w:r>
    </w:p>
    <w:p w:rsidR="00AE1AB8" w:rsidRDefault="00AE1AB8" w:rsidP="00872D1A"/>
    <w:p w:rsidR="00227822" w:rsidRDefault="00227822" w:rsidP="00227822">
      <w:pPr>
        <w:pStyle w:val="2"/>
      </w:pPr>
      <w:r>
        <w:t>Potential RAN2 impact of option1</w:t>
      </w:r>
    </w:p>
    <w:p w:rsidR="00D919FC" w:rsidRPr="00193848" w:rsidRDefault="001E1174" w:rsidP="00872D1A">
      <w:r>
        <w:rPr>
          <w:rFonts w:hint="eastAsia"/>
        </w:rPr>
        <w:t>T</w:t>
      </w:r>
      <w:r>
        <w:t>he biggest benefit of option1 is simplicity</w:t>
      </w:r>
      <w:r w:rsidR="00714B99">
        <w:t xml:space="preserve"> of the solution which imply much less work for both RAN1 and RAN2. In RRC layer the mobility issue can be avoided completely for both MTRP-Like scenario and HO-Like scenario</w:t>
      </w:r>
      <w:r w:rsidR="00466AB3">
        <w:t xml:space="preserve"> because cell is not changed at all. The addition/modification/release of connection to/from TRP A and/or TRP B become purely RAN1 procedure as today</w:t>
      </w:r>
      <w:r w:rsidR="007233A6">
        <w:t xml:space="preserve"> i.e. the inter-cell mobility issue become inter-TRP </w:t>
      </w:r>
      <w:r w:rsidR="004D1C84">
        <w:t>beam switch</w:t>
      </w:r>
      <w:r w:rsidR="007233A6">
        <w:t xml:space="preserve"> issue</w:t>
      </w:r>
      <w:r w:rsidR="00466AB3">
        <w:t xml:space="preserve">. </w:t>
      </w:r>
      <w:r w:rsidR="00D919FC">
        <w:t>In addition because C-RNTI i</w:t>
      </w:r>
      <w:r w:rsidR="004D1C84">
        <w:t>s always unique within one cell, i</w:t>
      </w:r>
      <w:r w:rsidR="00D919FC">
        <w:t>n option 1, whether C-RNTI of TRP A and TRP B should be same or not is not a valid issue at all.</w:t>
      </w:r>
      <w:r w:rsidR="00E124BC">
        <w:t xml:space="preserve"> RRC layer of course need configure beam management re</w:t>
      </w:r>
      <w:r w:rsidR="004D1C84">
        <w:t>levant parameters for TRP B e.g.</w:t>
      </w:r>
      <w:r w:rsidR="00E124BC">
        <w:t xml:space="preserve"> likely another instance of </w:t>
      </w:r>
      <w:r w:rsidR="00E124BC" w:rsidRPr="00E124BC">
        <w:rPr>
          <w:i/>
        </w:rPr>
        <w:t>CSI-MeasConfig</w:t>
      </w:r>
      <w:r w:rsidR="00E124BC">
        <w:t xml:space="preserve"> is needed.</w:t>
      </w:r>
      <w:r w:rsidR="00193848">
        <w:t xml:space="preserve"> For both instances of </w:t>
      </w:r>
      <w:r w:rsidR="00193848" w:rsidRPr="00E124BC">
        <w:rPr>
          <w:i/>
        </w:rPr>
        <w:t>CSI-MeasConfig</w:t>
      </w:r>
      <w:r w:rsidR="00193848">
        <w:t>, the additional part could be the linkage of TCI states of reference signals between TRP A and TRP B.</w:t>
      </w:r>
    </w:p>
    <w:p w:rsidR="00F23D24" w:rsidRDefault="007233A6" w:rsidP="00872D1A">
      <w:r>
        <w:t>Duri</w:t>
      </w:r>
      <w:r w:rsidR="00D919FC">
        <w:t>ng email discussion some companies</w:t>
      </w:r>
      <w:r>
        <w:t xml:space="preserve"> mentioned following aspects maybe impacted:</w:t>
      </w:r>
    </w:p>
    <w:p w:rsidR="007233A6" w:rsidRDefault="007233A6" w:rsidP="007233A6">
      <w:pPr>
        <w:pStyle w:val="ac"/>
        <w:numPr>
          <w:ilvl w:val="0"/>
          <w:numId w:val="6"/>
        </w:numPr>
        <w:ind w:firstLineChars="0"/>
      </w:pPr>
      <w:r>
        <w:lastRenderedPageBreak/>
        <w:t xml:space="preserve">RRM measurement and RLM/RLF </w:t>
      </w:r>
    </w:p>
    <w:p w:rsidR="007233A6" w:rsidRDefault="007233A6" w:rsidP="007233A6">
      <w:pPr>
        <w:pStyle w:val="ac"/>
        <w:numPr>
          <w:ilvl w:val="0"/>
          <w:numId w:val="6"/>
        </w:numPr>
        <w:ind w:firstLineChars="0"/>
      </w:pPr>
      <w:r>
        <w:t>Uplink synchronization</w:t>
      </w:r>
    </w:p>
    <w:p w:rsidR="00746794" w:rsidRDefault="007233A6" w:rsidP="007233A6">
      <w:r>
        <w:t xml:space="preserve">For issue 1 and issue 2, the commonality part is whether </w:t>
      </w:r>
      <w:r w:rsidR="00C13A20">
        <w:t xml:space="preserve">reference signal of TRP B should be involved in </w:t>
      </w:r>
      <w:r>
        <w:t>RRM measurement and/or RLM/RLF. Our understanding is that reference signa</w:t>
      </w:r>
      <w:r w:rsidR="00EC1806">
        <w:t>l from both TRP A and TRP B should</w:t>
      </w:r>
      <w:r>
        <w:t xml:space="preserve"> be involved. Note from UE point of view there is no d</w:t>
      </w:r>
      <w:r w:rsidR="00805509">
        <w:t>ifference between TRP A and TRP B apart from different PCI assignment</w:t>
      </w:r>
      <w:r w:rsidR="00C13A20">
        <w:t xml:space="preserve"> and beam management relevant configuration</w:t>
      </w:r>
      <w:r w:rsidR="00805509">
        <w:t>. TRP A can</w:t>
      </w:r>
      <w:r w:rsidR="00C13A20">
        <w:t xml:space="preserve"> also</w:t>
      </w:r>
      <w:r w:rsidR="00805509">
        <w:t xml:space="preserve"> be taken as extra TRP and vice versa. So when UE is assigned with reference signal to do RRM measurement or do radio link monitoring, reference signal from both TRPs should be taken into account.</w:t>
      </w:r>
      <w:r w:rsidR="00746794">
        <w:t xml:space="preserve"> </w:t>
      </w:r>
    </w:p>
    <w:p w:rsidR="00805509" w:rsidRDefault="00746794" w:rsidP="007233A6">
      <w:r>
        <w:t>However there is something new. When UE switch between TRP A and TRP B, reference signal for RRM measurement and radio link monitoring should be also changed dynamically along with beam switch.</w:t>
      </w:r>
    </w:p>
    <w:p w:rsidR="00145697" w:rsidRDefault="00805509" w:rsidP="00D85154">
      <w:r>
        <w:t>If the timing difference between TRP A and TRP B could beyond CP of the OFDM symbol, then uplink synchronization is a valid issue. But it basically mean TRP A and TRP B should belong to different TAG. One problem is that it break current basic principle i.e. one cell only belongs to one TAG. Furthermore when UE switch to one TRP, where uplink synchronization is lost, it will trigger RACH procedure to achieve uplink synchronization again. This obviously contradicts with the intention of MTR</w:t>
      </w:r>
      <w:r w:rsidR="00B02565">
        <w:t xml:space="preserve">P operation since more delay will be introduced in user plane. So simple approach is that </w:t>
      </w:r>
      <w:r w:rsidR="00EC1806">
        <w:t>some limitation should added to both scenarios as such that timing difference between TRP A and TRP B will not beyond CP length</w:t>
      </w:r>
      <w:r w:rsidR="00B02565">
        <w:t>.</w:t>
      </w:r>
      <w:r w:rsidR="003E138E">
        <w:t xml:space="preserve"> </w:t>
      </w:r>
    </w:p>
    <w:p w:rsidR="008A48BA" w:rsidRDefault="008A48BA" w:rsidP="008A48BA">
      <w:r>
        <w:t>In user plane protocol stack SDAP,PDCP and RLC are not impacted. MAC is also not impacted in the sense nothing is changed before MAC PDU is delivered to PHY layer. MAC could be impacted due to the relevant beam management operation e.g. activation/deactivation of TCI states of TRP B which is driven by RAN1</w:t>
      </w:r>
      <w:r w:rsidRPr="007233A6">
        <w:t xml:space="preserve"> </w:t>
      </w:r>
      <w:r>
        <w:t xml:space="preserve">as usual. </w:t>
      </w:r>
    </w:p>
    <w:p w:rsidR="002910A8" w:rsidRDefault="002910A8" w:rsidP="002910A8">
      <w:pPr>
        <w:pStyle w:val="2"/>
      </w:pPr>
      <w:r>
        <w:t>Potential RAN2 impact of option</w:t>
      </w:r>
      <w:r w:rsidR="00432090">
        <w:t xml:space="preserve"> </w:t>
      </w:r>
      <w:r>
        <w:t>2</w:t>
      </w:r>
    </w:p>
    <w:p w:rsidR="007233A6" w:rsidRDefault="00B26FCB" w:rsidP="00872D1A">
      <w:r>
        <w:rPr>
          <w:rFonts w:hint="eastAsia"/>
        </w:rPr>
        <w:t>Th</w:t>
      </w:r>
      <w:r>
        <w:t>e biggest benefit of option2 is flexibility and forward compatibility of the solution at the cost of complexity and high work load</w:t>
      </w:r>
      <w:r w:rsidR="00B20B4F">
        <w:t xml:space="preserve"> in both RAN1 and RAN2</w:t>
      </w:r>
      <w:r>
        <w:t xml:space="preserve">. </w:t>
      </w:r>
    </w:p>
    <w:p w:rsidR="00B26FCB" w:rsidRDefault="00B20B4F" w:rsidP="00872D1A">
      <w:r>
        <w:t xml:space="preserve">In both RRC layer and MAC layer cell A and cell B are taken as different serving cell i.e. they will be assigned with a different </w:t>
      </w:r>
      <w:r w:rsidRPr="00B20B4F">
        <w:rPr>
          <w:i/>
        </w:rPr>
        <w:t>ServCellIndex</w:t>
      </w:r>
      <w:r>
        <w:t>.</w:t>
      </w:r>
      <w:r w:rsidR="0053718F">
        <w:t xml:space="preserve"> So from user plane point of view, cell A and cell B looks like carrier aggregation but with same frequency.</w:t>
      </w:r>
      <w:r w:rsidR="008D38C6">
        <w:t xml:space="preserve"> The relationship between cell A and cell B is closer compared to normal carrier aggregation due to the potential linkage and interaction of</w:t>
      </w:r>
      <w:r w:rsidR="00E02A6A">
        <w:t xml:space="preserve"> cell A and cell B w.r.t.</w:t>
      </w:r>
      <w:r w:rsidR="008D38C6">
        <w:t xml:space="preserve"> beam management procedure in physical layer. So it will be bit weird that UE </w:t>
      </w:r>
      <w:r w:rsidR="0043289B">
        <w:t>is</w:t>
      </w:r>
      <w:r w:rsidR="008D38C6">
        <w:t xml:space="preserve"> assigned with different C-RNTI which </w:t>
      </w:r>
      <w:r w:rsidR="0043289B">
        <w:t xml:space="preserve">only </w:t>
      </w:r>
      <w:r w:rsidR="008D38C6">
        <w:t>occurs to different cell group so far.</w:t>
      </w:r>
    </w:p>
    <w:p w:rsidR="00145697" w:rsidRDefault="004B03D5" w:rsidP="00145697">
      <w:r>
        <w:t>Like option1, there is no impact foreseen on protocol stack SDAP, PDCP and RLC. MAC layer is also not impacted in the sense cell A and cell B are taken as different serving cell and falls in the current MAC framework</w:t>
      </w:r>
      <w:r w:rsidR="006344F5">
        <w:t xml:space="preserve"> without switching between cell A and cell B</w:t>
      </w:r>
      <w:r>
        <w:t>.</w:t>
      </w:r>
      <w:r w:rsidR="006344F5">
        <w:t xml:space="preserve"> These </w:t>
      </w:r>
      <w:r w:rsidR="00AC3255">
        <w:t xml:space="preserve">user plane stacks maybe impacted </w:t>
      </w:r>
      <w:r w:rsidR="00754B09">
        <w:t>when cell change occurs</w:t>
      </w:r>
      <w:r w:rsidR="00AC3255">
        <w:t>.</w:t>
      </w:r>
      <w:r w:rsidR="00754B09">
        <w:t xml:space="preserve"> And the extend of the impact depends on the detail solution to switch between cell A and cell B.</w:t>
      </w:r>
      <w:r w:rsidR="00AC3255">
        <w:t xml:space="preserve"> </w:t>
      </w:r>
      <w:r>
        <w:t xml:space="preserve"> </w:t>
      </w:r>
    </w:p>
    <w:p w:rsidR="004B03D5" w:rsidRDefault="004B03D5" w:rsidP="00145697">
      <w:r>
        <w:t xml:space="preserve">In RRC layer current RRC framework can be reused because cell B can be configured as another serving cell. There is no impact on RRM and RLM/RLF scheme as such that those measurement should be also limited within one cell and depends on the role of the cell in the system architecture. </w:t>
      </w:r>
      <w:r w:rsidR="00D85154">
        <w:t>Regarding uplink synchronization issue i</w:t>
      </w:r>
      <w:r>
        <w:t>n order to avoid RACH procedure, same approach for option1 should be also taken for option2.</w:t>
      </w:r>
    </w:p>
    <w:p w:rsidR="004B03D5" w:rsidRDefault="004B03D5" w:rsidP="00145697">
      <w:r>
        <w:t xml:space="preserve">The main issue for RRC layer is the cell role change. There are totally 3 cell roles in NR system i.e. PCell, pSCell and Scell. </w:t>
      </w:r>
      <w:r w:rsidR="00397842">
        <w:t>Correspondingly there are few types of cell role switch assuming cell A and cell B belongs to same cell group always:</w:t>
      </w:r>
    </w:p>
    <w:p w:rsidR="00397842" w:rsidRDefault="00D86F05" w:rsidP="00145697">
      <w:r>
        <w:t xml:space="preserve">Type </w:t>
      </w:r>
      <w:r w:rsidR="00397842">
        <w:t>1</w:t>
      </w:r>
      <w:r w:rsidR="00FA4BB5">
        <w:t>:</w:t>
      </w:r>
      <w:r w:rsidR="00397842">
        <w:t xml:space="preserve"> PCell </w:t>
      </w:r>
      <w:r w:rsidR="00397842">
        <w:sym w:font="Wingdings" w:char="F0DF"/>
      </w:r>
      <w:r w:rsidR="00397842">
        <w:sym w:font="Wingdings" w:char="F0E0"/>
      </w:r>
      <w:r w:rsidR="00397842">
        <w:t>Scell</w:t>
      </w:r>
    </w:p>
    <w:p w:rsidR="00397842" w:rsidRDefault="00D86F05" w:rsidP="00145697">
      <w:r>
        <w:t xml:space="preserve">Type </w:t>
      </w:r>
      <w:r w:rsidR="00397842">
        <w:t>2</w:t>
      </w:r>
      <w:r w:rsidR="00FA4BB5">
        <w:t>:</w:t>
      </w:r>
      <w:r w:rsidR="00397842">
        <w:t xml:space="preserve"> pSCell </w:t>
      </w:r>
      <w:r w:rsidR="00397842">
        <w:sym w:font="Wingdings" w:char="F0DF"/>
      </w:r>
      <w:r w:rsidR="00397842">
        <w:sym w:font="Wingdings" w:char="F0E0"/>
      </w:r>
      <w:r w:rsidR="00397842">
        <w:t>Scell</w:t>
      </w:r>
    </w:p>
    <w:p w:rsidR="00397842" w:rsidRDefault="00D86F05" w:rsidP="00145697">
      <w:r>
        <w:t xml:space="preserve">Type </w:t>
      </w:r>
      <w:r w:rsidR="00397842">
        <w:t>3</w:t>
      </w:r>
      <w:r w:rsidR="00FA4BB5">
        <w:t>:</w:t>
      </w:r>
      <w:r w:rsidR="00397842" w:rsidRPr="00397842">
        <w:t xml:space="preserve"> </w:t>
      </w:r>
      <w:r w:rsidR="00397842">
        <w:t xml:space="preserve">Scell </w:t>
      </w:r>
      <w:r w:rsidR="00397842">
        <w:tab/>
      </w:r>
      <w:r w:rsidR="00397842">
        <w:sym w:font="Wingdings" w:char="F0DF"/>
      </w:r>
      <w:r w:rsidR="00397842">
        <w:sym w:font="Wingdings" w:char="F0E0"/>
      </w:r>
      <w:r w:rsidR="00397842">
        <w:t>Scell</w:t>
      </w:r>
    </w:p>
    <w:p w:rsidR="00397842" w:rsidRDefault="00FA4BB5" w:rsidP="00145697">
      <w:r>
        <w:t>Type 3 is not a valid case since cell role is not changed. When both cell A and cell B are scell, RRC procedure is not necessary needed i.e. based on physical layer measurement/report network only decide to schedule either cell A or cell B or both.</w:t>
      </w:r>
      <w:r w:rsidR="001169EB">
        <w:t xml:space="preserve"> </w:t>
      </w:r>
    </w:p>
    <w:p w:rsidR="00FA4BB5" w:rsidRDefault="00FA4BB5" w:rsidP="00145697">
      <w:r>
        <w:t xml:space="preserve">RRC </w:t>
      </w:r>
      <w:r w:rsidR="00EB4411">
        <w:t>reconfiguration with</w:t>
      </w:r>
      <w:r w:rsidR="00EB4411" w:rsidRPr="00927854">
        <w:rPr>
          <w:i/>
        </w:rPr>
        <w:t xml:space="preserve"> </w:t>
      </w:r>
      <w:r w:rsidR="00927854" w:rsidRPr="00927854">
        <w:rPr>
          <w:i/>
        </w:rPr>
        <w:t xml:space="preserve">reconfigurationWithSync </w:t>
      </w:r>
      <w:r>
        <w:t>is necessary for both type 1 and type 2 cell role change in current spec. The questions whether this part can be optimized as such that user plane performance should not be impacted or with much less impact.</w:t>
      </w:r>
      <w:r w:rsidR="001169EB">
        <w:t xml:space="preserve"> </w:t>
      </w:r>
      <w:r w:rsidR="00747643">
        <w:t>For example, t</w:t>
      </w:r>
      <w:r w:rsidR="001169EB">
        <w:t xml:space="preserve">o enable switch between cell A and cell B by L1/L2 signaling, pre-configuration of candidate PCell or pSCell should be allowed. The benefit of the L1/L2 signaling </w:t>
      </w:r>
      <w:r w:rsidR="001169EB">
        <w:lastRenderedPageBreak/>
        <w:t>is low latency of the switch but it will also bring new issues e.g. reliability of signalling, security issue, interaction with normal handover procedure etc.</w:t>
      </w:r>
    </w:p>
    <w:p w:rsidR="008A0877" w:rsidRDefault="008A0877" w:rsidP="008A0877">
      <w:pPr>
        <w:pStyle w:val="2"/>
      </w:pPr>
      <w:r>
        <w:t>Comparison between option1 and option2</w:t>
      </w:r>
    </w:p>
    <w:p w:rsidR="008A0877" w:rsidRPr="008A0877" w:rsidRDefault="008A0877" w:rsidP="008A0877">
      <w:r>
        <w:t>The table 1 captures the difference between option1 and option 2 w.r.t. to RAN2 impactL</w:t>
      </w:r>
    </w:p>
    <w:tbl>
      <w:tblPr>
        <w:tblStyle w:val="ad"/>
        <w:tblW w:w="0" w:type="auto"/>
        <w:tblLook w:val="04A0" w:firstRow="1" w:lastRow="0" w:firstColumn="1" w:lastColumn="0" w:noHBand="0" w:noVBand="1"/>
      </w:tblPr>
      <w:tblGrid>
        <w:gridCol w:w="1925"/>
        <w:gridCol w:w="1926"/>
        <w:gridCol w:w="1926"/>
        <w:gridCol w:w="1926"/>
        <w:gridCol w:w="1926"/>
      </w:tblGrid>
      <w:tr w:rsidR="00DA1CC3" w:rsidTr="008A0877">
        <w:tc>
          <w:tcPr>
            <w:tcW w:w="1925" w:type="dxa"/>
            <w:shd w:val="clear" w:color="auto" w:fill="D9D9D9" w:themeFill="background1" w:themeFillShade="D9"/>
          </w:tcPr>
          <w:p w:rsidR="00DA1CC3" w:rsidRDefault="00DA1CC3" w:rsidP="00DA1CC3">
            <w:pPr>
              <w:jc w:val="center"/>
            </w:pPr>
            <w:r>
              <w:t>Scenarios</w:t>
            </w:r>
          </w:p>
        </w:tc>
        <w:tc>
          <w:tcPr>
            <w:tcW w:w="3852" w:type="dxa"/>
            <w:gridSpan w:val="2"/>
            <w:shd w:val="clear" w:color="auto" w:fill="D9D9D9" w:themeFill="background1" w:themeFillShade="D9"/>
          </w:tcPr>
          <w:p w:rsidR="00DA1CC3" w:rsidRDefault="00DA1CC3" w:rsidP="00DA1CC3">
            <w:pPr>
              <w:jc w:val="center"/>
            </w:pPr>
            <w:r>
              <w:rPr>
                <w:rFonts w:hint="eastAsia"/>
              </w:rPr>
              <w:t>M</w:t>
            </w:r>
            <w:r>
              <w:t>TRP-Li</w:t>
            </w:r>
            <w:r>
              <w:rPr>
                <w:rFonts w:hint="eastAsia"/>
              </w:rPr>
              <w:t>ke</w:t>
            </w:r>
            <w:r>
              <w:t xml:space="preserve"> scenario</w:t>
            </w:r>
          </w:p>
        </w:tc>
        <w:tc>
          <w:tcPr>
            <w:tcW w:w="3852" w:type="dxa"/>
            <w:gridSpan w:val="2"/>
            <w:shd w:val="clear" w:color="auto" w:fill="D9D9D9" w:themeFill="background1" w:themeFillShade="D9"/>
          </w:tcPr>
          <w:p w:rsidR="00DA1CC3" w:rsidRDefault="00DA1CC3" w:rsidP="00DA1CC3">
            <w:pPr>
              <w:jc w:val="center"/>
            </w:pPr>
            <w:r>
              <w:rPr>
                <w:rFonts w:hint="eastAsia"/>
              </w:rPr>
              <w:t>H</w:t>
            </w:r>
            <w:r>
              <w:t>O-Like scenario</w:t>
            </w:r>
          </w:p>
        </w:tc>
      </w:tr>
      <w:tr w:rsidR="00DA1CC3" w:rsidTr="008A0877">
        <w:tc>
          <w:tcPr>
            <w:tcW w:w="1925" w:type="dxa"/>
            <w:shd w:val="clear" w:color="auto" w:fill="D9D9D9" w:themeFill="background1" w:themeFillShade="D9"/>
          </w:tcPr>
          <w:p w:rsidR="00DA1CC3" w:rsidRDefault="00DA1CC3" w:rsidP="00DA1CC3">
            <w:pPr>
              <w:jc w:val="center"/>
            </w:pPr>
            <w:r>
              <w:t xml:space="preserve">Modelling </w:t>
            </w:r>
            <w:r>
              <w:rPr>
                <w:rFonts w:hint="eastAsia"/>
              </w:rPr>
              <w:t>O</w:t>
            </w:r>
            <w:r>
              <w:t>ptions</w:t>
            </w:r>
          </w:p>
        </w:tc>
        <w:tc>
          <w:tcPr>
            <w:tcW w:w="1926" w:type="dxa"/>
            <w:shd w:val="clear" w:color="auto" w:fill="D9D9D9" w:themeFill="background1" w:themeFillShade="D9"/>
          </w:tcPr>
          <w:p w:rsidR="00DA1CC3" w:rsidRDefault="00DA1CC3" w:rsidP="00DA1CC3">
            <w:pPr>
              <w:jc w:val="center"/>
            </w:pPr>
            <w:r>
              <w:t>Option1</w:t>
            </w:r>
          </w:p>
        </w:tc>
        <w:tc>
          <w:tcPr>
            <w:tcW w:w="1926" w:type="dxa"/>
            <w:shd w:val="clear" w:color="auto" w:fill="D9D9D9" w:themeFill="background1" w:themeFillShade="D9"/>
          </w:tcPr>
          <w:p w:rsidR="00DA1CC3" w:rsidRDefault="00DA1CC3" w:rsidP="00DA1CC3">
            <w:pPr>
              <w:jc w:val="center"/>
            </w:pPr>
            <w:r>
              <w:t>Option2</w:t>
            </w:r>
          </w:p>
        </w:tc>
        <w:tc>
          <w:tcPr>
            <w:tcW w:w="1926" w:type="dxa"/>
            <w:shd w:val="clear" w:color="auto" w:fill="D9D9D9" w:themeFill="background1" w:themeFillShade="D9"/>
          </w:tcPr>
          <w:p w:rsidR="00DA1CC3" w:rsidRDefault="00DA1CC3" w:rsidP="00DA1CC3">
            <w:pPr>
              <w:jc w:val="center"/>
            </w:pPr>
            <w:r>
              <w:t xml:space="preserve">Option1 </w:t>
            </w:r>
          </w:p>
        </w:tc>
        <w:tc>
          <w:tcPr>
            <w:tcW w:w="1926" w:type="dxa"/>
            <w:shd w:val="clear" w:color="auto" w:fill="D9D9D9" w:themeFill="background1" w:themeFillShade="D9"/>
          </w:tcPr>
          <w:p w:rsidR="00DA1CC3" w:rsidRDefault="00DA1CC3" w:rsidP="00DA1CC3">
            <w:pPr>
              <w:jc w:val="center"/>
            </w:pPr>
            <w:r>
              <w:t>Option 2</w:t>
            </w:r>
          </w:p>
        </w:tc>
      </w:tr>
      <w:tr w:rsidR="00DA1CC3" w:rsidTr="00DA1CC3">
        <w:tc>
          <w:tcPr>
            <w:tcW w:w="1925" w:type="dxa"/>
          </w:tcPr>
          <w:p w:rsidR="00DA1CC3" w:rsidRDefault="00DA1CC3" w:rsidP="00145697">
            <w:r>
              <w:t>SDAP/PDCP/RLC</w:t>
            </w:r>
          </w:p>
        </w:tc>
        <w:tc>
          <w:tcPr>
            <w:tcW w:w="1926" w:type="dxa"/>
          </w:tcPr>
          <w:p w:rsidR="00DA1CC3" w:rsidRDefault="00DA1CC3" w:rsidP="00145697">
            <w:r w:rsidRPr="00D84A31">
              <w:rPr>
                <w:highlight w:val="green"/>
              </w:rPr>
              <w:t>No impact</w:t>
            </w:r>
          </w:p>
        </w:tc>
        <w:tc>
          <w:tcPr>
            <w:tcW w:w="1926" w:type="dxa"/>
          </w:tcPr>
          <w:p w:rsidR="00DA1CC3" w:rsidRDefault="002F728A" w:rsidP="00145697">
            <w:r w:rsidRPr="0051619D">
              <w:rPr>
                <w:highlight w:val="red"/>
              </w:rPr>
              <w:t>Maybe impacted by HO like procedure</w:t>
            </w:r>
          </w:p>
        </w:tc>
        <w:tc>
          <w:tcPr>
            <w:tcW w:w="1926" w:type="dxa"/>
          </w:tcPr>
          <w:p w:rsidR="00DA1CC3" w:rsidRDefault="00DA1CC3" w:rsidP="00145697">
            <w:r w:rsidRPr="00D84A31">
              <w:rPr>
                <w:highlight w:val="green"/>
              </w:rPr>
              <w:t>No impact</w:t>
            </w:r>
          </w:p>
        </w:tc>
        <w:tc>
          <w:tcPr>
            <w:tcW w:w="1926" w:type="dxa"/>
          </w:tcPr>
          <w:p w:rsidR="00DA1CC3" w:rsidRDefault="002F728A" w:rsidP="00145697">
            <w:r w:rsidRPr="0051619D">
              <w:rPr>
                <w:highlight w:val="red"/>
              </w:rPr>
              <w:t>Maybe impacted by HO like procedure</w:t>
            </w:r>
          </w:p>
        </w:tc>
      </w:tr>
      <w:tr w:rsidR="00DA1CC3" w:rsidTr="00DA1CC3">
        <w:tc>
          <w:tcPr>
            <w:tcW w:w="1925" w:type="dxa"/>
          </w:tcPr>
          <w:p w:rsidR="00DA1CC3" w:rsidRDefault="00DA1CC3" w:rsidP="00145697">
            <w:r>
              <w:t>MAC</w:t>
            </w:r>
          </w:p>
        </w:tc>
        <w:tc>
          <w:tcPr>
            <w:tcW w:w="1926" w:type="dxa"/>
          </w:tcPr>
          <w:p w:rsidR="00DA1CC3" w:rsidRDefault="006B6AEF" w:rsidP="006B6AEF">
            <w:r>
              <w:t>New MAC CE maybe needed</w:t>
            </w:r>
          </w:p>
        </w:tc>
        <w:tc>
          <w:tcPr>
            <w:tcW w:w="1926" w:type="dxa"/>
          </w:tcPr>
          <w:p w:rsidR="00DA1CC3" w:rsidRDefault="00C46405" w:rsidP="00145697">
            <w:r w:rsidRPr="00201570">
              <w:rPr>
                <w:highlight w:val="green"/>
              </w:rPr>
              <w:t>No impact</w:t>
            </w:r>
          </w:p>
        </w:tc>
        <w:tc>
          <w:tcPr>
            <w:tcW w:w="1926" w:type="dxa"/>
          </w:tcPr>
          <w:p w:rsidR="00DA1CC3" w:rsidRDefault="006B6AEF" w:rsidP="00145697">
            <w:r>
              <w:t>New MAC CE maybe needed</w:t>
            </w:r>
          </w:p>
        </w:tc>
        <w:tc>
          <w:tcPr>
            <w:tcW w:w="1926" w:type="dxa"/>
          </w:tcPr>
          <w:p w:rsidR="00DA1CC3" w:rsidRDefault="00C46405" w:rsidP="00145697">
            <w:r w:rsidRPr="00201570">
              <w:rPr>
                <w:highlight w:val="green"/>
              </w:rPr>
              <w:t>No impact</w:t>
            </w:r>
          </w:p>
        </w:tc>
      </w:tr>
      <w:tr w:rsidR="00DA1CC3" w:rsidTr="00DA1CC3">
        <w:tc>
          <w:tcPr>
            <w:tcW w:w="1925" w:type="dxa"/>
          </w:tcPr>
          <w:p w:rsidR="00DA1CC3" w:rsidRDefault="00DA1CC3" w:rsidP="00145697">
            <w:r>
              <w:t>RRC-mobility</w:t>
            </w:r>
          </w:p>
        </w:tc>
        <w:tc>
          <w:tcPr>
            <w:tcW w:w="1926" w:type="dxa"/>
          </w:tcPr>
          <w:p w:rsidR="00DA1CC3" w:rsidRDefault="00D26359" w:rsidP="00145697">
            <w:r w:rsidRPr="00D84A31">
              <w:rPr>
                <w:highlight w:val="green"/>
              </w:rPr>
              <w:t>No impact</w:t>
            </w:r>
          </w:p>
        </w:tc>
        <w:tc>
          <w:tcPr>
            <w:tcW w:w="1926" w:type="dxa"/>
          </w:tcPr>
          <w:p w:rsidR="00DA1CC3" w:rsidRDefault="00C46405" w:rsidP="00145697">
            <w:r w:rsidRPr="0051619D">
              <w:rPr>
                <w:rFonts w:hint="eastAsia"/>
                <w:highlight w:val="red"/>
              </w:rPr>
              <w:t>R</w:t>
            </w:r>
            <w:r w:rsidRPr="0051619D">
              <w:rPr>
                <w:highlight w:val="red"/>
              </w:rPr>
              <w:t>RC procedure may be needed or optimized</w:t>
            </w:r>
          </w:p>
        </w:tc>
        <w:tc>
          <w:tcPr>
            <w:tcW w:w="1926" w:type="dxa"/>
          </w:tcPr>
          <w:p w:rsidR="00DA1CC3" w:rsidRDefault="00D26359" w:rsidP="00145697">
            <w:r w:rsidRPr="00D84A31">
              <w:rPr>
                <w:rFonts w:hint="eastAsia"/>
                <w:highlight w:val="green"/>
              </w:rPr>
              <w:t>N</w:t>
            </w:r>
            <w:r w:rsidRPr="00D84A31">
              <w:rPr>
                <w:highlight w:val="green"/>
              </w:rPr>
              <w:t>o impact</w:t>
            </w:r>
          </w:p>
        </w:tc>
        <w:tc>
          <w:tcPr>
            <w:tcW w:w="1926" w:type="dxa"/>
          </w:tcPr>
          <w:p w:rsidR="00DA1CC3" w:rsidRDefault="00C46405" w:rsidP="00145697">
            <w:r w:rsidRPr="0051619D">
              <w:rPr>
                <w:rFonts w:hint="eastAsia"/>
                <w:highlight w:val="red"/>
              </w:rPr>
              <w:t>R</w:t>
            </w:r>
            <w:r w:rsidRPr="0051619D">
              <w:rPr>
                <w:highlight w:val="red"/>
              </w:rPr>
              <w:t>RC procedure may be needed or optimized</w:t>
            </w:r>
          </w:p>
        </w:tc>
      </w:tr>
      <w:tr w:rsidR="00DA1CC3" w:rsidTr="00DA1CC3">
        <w:tc>
          <w:tcPr>
            <w:tcW w:w="1925" w:type="dxa"/>
          </w:tcPr>
          <w:p w:rsidR="00DA1CC3" w:rsidRDefault="00D26359" w:rsidP="00145697">
            <w:r>
              <w:rPr>
                <w:rFonts w:hint="eastAsia"/>
              </w:rPr>
              <w:t>R</w:t>
            </w:r>
            <w:r>
              <w:t>RC-configuration</w:t>
            </w:r>
          </w:p>
        </w:tc>
        <w:tc>
          <w:tcPr>
            <w:tcW w:w="1926" w:type="dxa"/>
          </w:tcPr>
          <w:p w:rsidR="00DA1CC3" w:rsidRDefault="00D26359" w:rsidP="00145697">
            <w:r>
              <w:t>Beam management relevant parameters of another TRP</w:t>
            </w:r>
          </w:p>
        </w:tc>
        <w:tc>
          <w:tcPr>
            <w:tcW w:w="1926" w:type="dxa"/>
          </w:tcPr>
          <w:p w:rsidR="00DA1CC3" w:rsidRPr="00D84A31" w:rsidRDefault="00C46405" w:rsidP="00145697">
            <w:pPr>
              <w:rPr>
                <w:highlight w:val="green"/>
              </w:rPr>
            </w:pPr>
            <w:r w:rsidRPr="00D84A31">
              <w:rPr>
                <w:highlight w:val="green"/>
              </w:rPr>
              <w:t>No impact</w:t>
            </w:r>
          </w:p>
        </w:tc>
        <w:tc>
          <w:tcPr>
            <w:tcW w:w="1926" w:type="dxa"/>
          </w:tcPr>
          <w:p w:rsidR="00DA1CC3" w:rsidRDefault="00D26359" w:rsidP="00145697">
            <w:r>
              <w:t>Beam management relevant parameters of another TRP</w:t>
            </w:r>
          </w:p>
        </w:tc>
        <w:tc>
          <w:tcPr>
            <w:tcW w:w="1926" w:type="dxa"/>
          </w:tcPr>
          <w:p w:rsidR="00DA1CC3" w:rsidRPr="00D84A31" w:rsidRDefault="00C46405" w:rsidP="00145697">
            <w:pPr>
              <w:rPr>
                <w:highlight w:val="green"/>
              </w:rPr>
            </w:pPr>
            <w:r w:rsidRPr="00D84A31">
              <w:rPr>
                <w:highlight w:val="green"/>
              </w:rPr>
              <w:t>No impact</w:t>
            </w:r>
          </w:p>
        </w:tc>
      </w:tr>
      <w:tr w:rsidR="00990386" w:rsidTr="00DA1CC3">
        <w:tc>
          <w:tcPr>
            <w:tcW w:w="1925" w:type="dxa"/>
          </w:tcPr>
          <w:p w:rsidR="00990386" w:rsidRDefault="00990386" w:rsidP="00990386">
            <w:r>
              <w:t>RRM</w:t>
            </w:r>
          </w:p>
        </w:tc>
        <w:tc>
          <w:tcPr>
            <w:tcW w:w="1926" w:type="dxa"/>
          </w:tcPr>
          <w:p w:rsidR="00990386" w:rsidRDefault="00990386" w:rsidP="00990386">
            <w:r>
              <w:rPr>
                <w:rFonts w:hint="eastAsia"/>
              </w:rPr>
              <w:t>R</w:t>
            </w:r>
            <w:r>
              <w:t>S from both TRP are involved</w:t>
            </w:r>
          </w:p>
        </w:tc>
        <w:tc>
          <w:tcPr>
            <w:tcW w:w="1926" w:type="dxa"/>
          </w:tcPr>
          <w:p w:rsidR="00990386" w:rsidRPr="00D84A31" w:rsidRDefault="00990386" w:rsidP="00990386">
            <w:pPr>
              <w:rPr>
                <w:highlight w:val="green"/>
              </w:rPr>
            </w:pPr>
            <w:r w:rsidRPr="00D84A31">
              <w:rPr>
                <w:highlight w:val="green"/>
              </w:rPr>
              <w:t>No impact</w:t>
            </w:r>
          </w:p>
        </w:tc>
        <w:tc>
          <w:tcPr>
            <w:tcW w:w="1926" w:type="dxa"/>
          </w:tcPr>
          <w:p w:rsidR="00990386" w:rsidRDefault="00990386" w:rsidP="00990386">
            <w:r>
              <w:rPr>
                <w:rFonts w:hint="eastAsia"/>
              </w:rPr>
              <w:t>R</w:t>
            </w:r>
            <w:r>
              <w:t>S from both TRP are involved</w:t>
            </w:r>
          </w:p>
        </w:tc>
        <w:tc>
          <w:tcPr>
            <w:tcW w:w="1926" w:type="dxa"/>
          </w:tcPr>
          <w:p w:rsidR="00990386" w:rsidRPr="00D84A31" w:rsidRDefault="00990386" w:rsidP="00990386">
            <w:pPr>
              <w:rPr>
                <w:highlight w:val="green"/>
              </w:rPr>
            </w:pPr>
            <w:r w:rsidRPr="00D84A31">
              <w:rPr>
                <w:highlight w:val="green"/>
              </w:rPr>
              <w:t>No impact</w:t>
            </w:r>
          </w:p>
        </w:tc>
      </w:tr>
      <w:tr w:rsidR="00990386" w:rsidTr="00DA1CC3">
        <w:tc>
          <w:tcPr>
            <w:tcW w:w="1925" w:type="dxa"/>
          </w:tcPr>
          <w:p w:rsidR="00990386" w:rsidRDefault="00990386" w:rsidP="00990386">
            <w:r>
              <w:rPr>
                <w:rFonts w:hint="eastAsia"/>
              </w:rPr>
              <w:t>R</w:t>
            </w:r>
            <w:r>
              <w:t>LM/RLF</w:t>
            </w:r>
          </w:p>
        </w:tc>
        <w:tc>
          <w:tcPr>
            <w:tcW w:w="1926" w:type="dxa"/>
          </w:tcPr>
          <w:p w:rsidR="00990386" w:rsidRDefault="00990386" w:rsidP="00990386">
            <w:r>
              <w:rPr>
                <w:rFonts w:hint="eastAsia"/>
              </w:rPr>
              <w:t>R</w:t>
            </w:r>
            <w:r>
              <w:t>S from both TRP are involved</w:t>
            </w:r>
          </w:p>
        </w:tc>
        <w:tc>
          <w:tcPr>
            <w:tcW w:w="1926" w:type="dxa"/>
          </w:tcPr>
          <w:p w:rsidR="00990386" w:rsidRPr="00D84A31" w:rsidRDefault="00990386" w:rsidP="00990386">
            <w:pPr>
              <w:rPr>
                <w:highlight w:val="green"/>
              </w:rPr>
            </w:pPr>
            <w:r w:rsidRPr="00D84A31">
              <w:rPr>
                <w:highlight w:val="green"/>
              </w:rPr>
              <w:t>No impact</w:t>
            </w:r>
          </w:p>
        </w:tc>
        <w:tc>
          <w:tcPr>
            <w:tcW w:w="1926" w:type="dxa"/>
          </w:tcPr>
          <w:p w:rsidR="00990386" w:rsidRDefault="00990386" w:rsidP="00990386">
            <w:r>
              <w:rPr>
                <w:rFonts w:hint="eastAsia"/>
              </w:rPr>
              <w:t>R</w:t>
            </w:r>
            <w:r>
              <w:t>S from both TRP are involved</w:t>
            </w:r>
          </w:p>
        </w:tc>
        <w:tc>
          <w:tcPr>
            <w:tcW w:w="1926" w:type="dxa"/>
          </w:tcPr>
          <w:p w:rsidR="00990386" w:rsidRPr="00D84A31" w:rsidRDefault="00990386" w:rsidP="00990386">
            <w:pPr>
              <w:rPr>
                <w:highlight w:val="green"/>
              </w:rPr>
            </w:pPr>
            <w:r w:rsidRPr="00D84A31">
              <w:rPr>
                <w:highlight w:val="green"/>
              </w:rPr>
              <w:t>No impact</w:t>
            </w:r>
          </w:p>
        </w:tc>
      </w:tr>
      <w:tr w:rsidR="00990386" w:rsidTr="00DA1CC3">
        <w:tc>
          <w:tcPr>
            <w:tcW w:w="1925" w:type="dxa"/>
          </w:tcPr>
          <w:p w:rsidR="00990386" w:rsidRDefault="00990386" w:rsidP="00990386">
            <w:r>
              <w:rPr>
                <w:rFonts w:hint="eastAsia"/>
              </w:rPr>
              <w:t>U</w:t>
            </w:r>
            <w:r>
              <w:t>plink synchronization</w:t>
            </w:r>
          </w:p>
        </w:tc>
        <w:tc>
          <w:tcPr>
            <w:tcW w:w="1926" w:type="dxa"/>
          </w:tcPr>
          <w:p w:rsidR="00990386" w:rsidRDefault="00990386" w:rsidP="00990386">
            <w:r>
              <w:t>It is assumed timing difference between TRP A and TRP B is not beyond CP length</w:t>
            </w:r>
          </w:p>
        </w:tc>
        <w:tc>
          <w:tcPr>
            <w:tcW w:w="1926" w:type="dxa"/>
          </w:tcPr>
          <w:p w:rsidR="00990386" w:rsidRDefault="00990386" w:rsidP="00990386">
            <w:r>
              <w:t>It is assumed timing difference between TRP A and TRP B is not beyond CP length</w:t>
            </w:r>
          </w:p>
        </w:tc>
        <w:tc>
          <w:tcPr>
            <w:tcW w:w="1926" w:type="dxa"/>
          </w:tcPr>
          <w:p w:rsidR="00990386" w:rsidRDefault="00990386" w:rsidP="00990386">
            <w:r>
              <w:t>It is assumed timing difference between TRP A and TRP B is not beyond CP length</w:t>
            </w:r>
          </w:p>
        </w:tc>
        <w:tc>
          <w:tcPr>
            <w:tcW w:w="1926" w:type="dxa"/>
          </w:tcPr>
          <w:p w:rsidR="00990386" w:rsidRDefault="00990386" w:rsidP="00990386">
            <w:r>
              <w:t>It is assumed timing difference between TRP A and TRP B is not beyond CP length</w:t>
            </w:r>
          </w:p>
        </w:tc>
      </w:tr>
    </w:tbl>
    <w:p w:rsidR="00D85154" w:rsidRDefault="00E637B5" w:rsidP="00E637B5">
      <w:pPr>
        <w:jc w:val="center"/>
      </w:pPr>
      <w:r>
        <w:t>T</w:t>
      </w:r>
      <w:r>
        <w:rPr>
          <w:rFonts w:hint="eastAsia"/>
        </w:rPr>
        <w:t>able</w:t>
      </w:r>
      <w:r>
        <w:t>1 comparison between option 1 and option 2 on RAN2 impact</w:t>
      </w:r>
    </w:p>
    <w:p w:rsidR="00A54A18" w:rsidRPr="00D856E0" w:rsidRDefault="007D4B2A" w:rsidP="007D4B2A">
      <w:r>
        <w:t xml:space="preserve">For option2, it is obvious that cell change can be handled by legacy handover procedure at the cost </w:t>
      </w:r>
      <w:r w:rsidR="00692170">
        <w:t>of</w:t>
      </w:r>
      <w:r>
        <w:t xml:space="preserve"> long interruption time and low spectrum efficiency due to flush of user plane protocol stack. With this approach the RAN2 impact is minor but contradicts with the intention of L1/L2 mobility. In order to not flush the user plane protocol stack and reduce the interruption time to minimum, then some optimization on RRC layer and MAC/PHY layer is needed which however bring quite a lot work in RAN2. Note in RAN1, it is obvious option 2 will bring more work load for RAN1. L1/L2 mobility issue is 1 of the 6 sub-topics of one MIMO </w:t>
      </w:r>
      <w:r w:rsidR="00692170">
        <w:t>issues</w:t>
      </w:r>
      <w:r>
        <w:t xml:space="preserve"> and there are 8 </w:t>
      </w:r>
      <w:r w:rsidR="00692170">
        <w:t>issues</w:t>
      </w:r>
      <w:r>
        <w:t xml:space="preserve"> in Rel17! In order to complete the wo</w:t>
      </w:r>
      <w:r w:rsidR="00A54A18">
        <w:t>rk in RAN1 and RAN2 in time, it will be straight way to go for option 1.</w:t>
      </w:r>
    </w:p>
    <w:p w:rsidR="008D17D0" w:rsidRDefault="008D17D0" w:rsidP="00B26FCB">
      <w:pPr>
        <w:pStyle w:val="1"/>
        <w:numPr>
          <w:ilvl w:val="0"/>
          <w:numId w:val="0"/>
        </w:numPr>
      </w:pPr>
      <w:r w:rsidRPr="003916D2">
        <w:t>Conclusion</w:t>
      </w:r>
      <w:r>
        <w:t xml:space="preserve"> </w:t>
      </w:r>
    </w:p>
    <w:p w:rsidR="00383F0C" w:rsidRDefault="00A54A18" w:rsidP="00383F0C">
      <w:r w:rsidRPr="00A54A18">
        <w:rPr>
          <w:rFonts w:hint="eastAsia"/>
        </w:rPr>
        <w:t>B</w:t>
      </w:r>
      <w:r w:rsidRPr="00A54A18">
        <w:t>y comparing</w:t>
      </w:r>
      <w:r>
        <w:t xml:space="preserve"> between optioni1 and option2 in this paper, it is clear that RAN2 should go for optoin1 to finish the relevant work in both RAN1 and RAN2 in time.</w:t>
      </w:r>
    </w:p>
    <w:p w:rsidR="00A54A18" w:rsidRPr="00A54A18" w:rsidRDefault="00A54A18" w:rsidP="00383F0C">
      <w:pPr>
        <w:rPr>
          <w:b/>
        </w:rPr>
      </w:pPr>
      <w:r w:rsidRPr="00A54A18">
        <w:rPr>
          <w:b/>
        </w:rPr>
        <w:t xml:space="preserve">Proposal: To model TRP A and TRP B in both MTRP-Like and HO-Like scenario as different TRP of same cell but with different PCI. </w:t>
      </w:r>
    </w:p>
    <w:p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9B6DC7" w:rsidRDefault="009B6DC7" w:rsidP="009B6DC7">
      <w:r>
        <w:rPr>
          <w:rFonts w:hint="eastAsia"/>
        </w:rPr>
        <w:t>[</w:t>
      </w:r>
      <w:r>
        <w:t xml:space="preserve">1] </w:t>
      </w:r>
      <w:r w:rsidRPr="009B6DC7">
        <w:t>R2-2102625</w:t>
      </w:r>
      <w:r w:rsidRPr="009B6DC7">
        <w:tab/>
        <w:t>LS on Agreements Pertaining to L1/L2-Centric Inter-Cell Mobility (R1-2102209; contact: Samsung)</w:t>
      </w:r>
      <w:r w:rsidRPr="009B6DC7">
        <w:tab/>
        <w:t>RAN1</w:t>
      </w:r>
      <w:r w:rsidRPr="009B6DC7">
        <w:tab/>
        <w:t>LS in</w:t>
      </w:r>
      <w:r w:rsidRPr="009B6DC7">
        <w:tab/>
        <w:t>Rel-17</w:t>
      </w:r>
      <w:r w:rsidRPr="009B6DC7">
        <w:tab/>
        <w:t>NR_feMIMO-Core</w:t>
      </w:r>
      <w:r w:rsidRPr="009B6DC7">
        <w:tab/>
        <w:t>To:RAN2</w:t>
      </w:r>
      <w:r w:rsidRPr="009B6DC7">
        <w:tab/>
        <w:t>Cc:RAN3, RAN4</w:t>
      </w:r>
    </w:p>
    <w:p w:rsidR="009B6DC7" w:rsidRDefault="009B6DC7" w:rsidP="009B6DC7">
      <w:r>
        <w:t xml:space="preserve">[2] </w:t>
      </w:r>
      <w:r w:rsidRPr="009B6DC7">
        <w:t>R2-2102627</w:t>
      </w:r>
      <w:r w:rsidRPr="009B6DC7">
        <w:tab/>
        <w:t>LS on TCI State Update for L1/L2-Centric Inter-Cell Mobility (R1-2102248; contact: Samsung)</w:t>
      </w:r>
      <w:r w:rsidRPr="009B6DC7">
        <w:tab/>
        <w:t>RAN1</w:t>
      </w:r>
      <w:r w:rsidRPr="009B6DC7">
        <w:tab/>
        <w:t>LS in</w:t>
      </w:r>
      <w:r w:rsidRPr="009B6DC7">
        <w:tab/>
        <w:t>Rel-16</w:t>
      </w:r>
      <w:r w:rsidRPr="009B6DC7">
        <w:tab/>
        <w:t>NR_feMIMO-Core</w:t>
      </w:r>
      <w:r w:rsidRPr="009B6DC7">
        <w:tab/>
        <w:t>To:RAN2, RAN3, RAN4</w:t>
      </w:r>
      <w:r w:rsidRPr="009B6DC7">
        <w:tab/>
        <w:t>Cc:RAN</w:t>
      </w:r>
    </w:p>
    <w:p w:rsidR="002C327A" w:rsidRPr="009B6DC7" w:rsidRDefault="002C327A" w:rsidP="009B6DC7">
      <w:r>
        <w:lastRenderedPageBreak/>
        <w:t xml:space="preserve">[3] </w:t>
      </w:r>
      <w:r w:rsidRPr="002C327A">
        <w:t>R2-2102870</w:t>
      </w:r>
      <w:r w:rsidRPr="002C327A">
        <w:tab/>
        <w:t>Discussion on L1/L2-Centric Inter-Cell Mobility</w:t>
      </w:r>
      <w:r w:rsidRPr="002C327A">
        <w:tab/>
        <w:t>Intel Corporation</w:t>
      </w:r>
      <w:r w:rsidRPr="002C327A">
        <w:tab/>
        <w:t>discussion</w:t>
      </w:r>
      <w:r w:rsidRPr="002C327A">
        <w:tab/>
        <w:t>Rel-17</w:t>
      </w:r>
      <w:r w:rsidRPr="002C327A">
        <w:tab/>
        <w:t>NR_feMIMO-Core</w:t>
      </w:r>
    </w:p>
    <w:sectPr w:rsidR="002C327A" w:rsidRPr="009B6DC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A47" w:rsidRDefault="00130A47" w:rsidP="00536369">
      <w:pPr>
        <w:spacing w:after="0"/>
      </w:pPr>
      <w:r>
        <w:separator/>
      </w:r>
    </w:p>
  </w:endnote>
  <w:endnote w:type="continuationSeparator" w:id="0">
    <w:p w:rsidR="00130A47" w:rsidRDefault="00130A47"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B2A" w:rsidRDefault="007D4B2A">
    <w:pPr>
      <w:pStyle w:val="a6"/>
      <w:tabs>
        <w:tab w:val="center" w:pos="4820"/>
        <w:tab w:val="right" w:pos="9639"/>
      </w:tabs>
      <w:jc w:val="left"/>
    </w:pPr>
    <w:r>
      <w:tab/>
    </w:r>
    <w:r>
      <w:fldChar w:fldCharType="begin"/>
    </w:r>
    <w:r>
      <w:rPr>
        <w:rStyle w:val="a4"/>
      </w:rPr>
      <w:instrText xml:space="preserve"> PAGE </w:instrText>
    </w:r>
    <w:r>
      <w:fldChar w:fldCharType="separate"/>
    </w:r>
    <w:r w:rsidR="00792366">
      <w:rPr>
        <w:rStyle w:val="a4"/>
        <w:noProof/>
      </w:rPr>
      <w:t>1</w:t>
    </w:r>
    <w:r>
      <w:fldChar w:fldCharType="end"/>
    </w:r>
    <w:r>
      <w:rPr>
        <w:rStyle w:val="a4"/>
      </w:rPr>
      <w:t>/</w:t>
    </w:r>
    <w:r>
      <w:fldChar w:fldCharType="begin"/>
    </w:r>
    <w:r>
      <w:rPr>
        <w:rStyle w:val="a4"/>
      </w:rPr>
      <w:instrText xml:space="preserve"> NUMPAGES </w:instrText>
    </w:r>
    <w:r>
      <w:fldChar w:fldCharType="separate"/>
    </w:r>
    <w:r w:rsidR="00792366">
      <w:rPr>
        <w:rStyle w:val="a4"/>
        <w:noProof/>
      </w:rPr>
      <w:t>5</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A47" w:rsidRDefault="00130A47" w:rsidP="00536369">
      <w:pPr>
        <w:spacing w:after="0"/>
      </w:pPr>
      <w:r>
        <w:separator/>
      </w:r>
    </w:p>
  </w:footnote>
  <w:footnote w:type="continuationSeparator" w:id="0">
    <w:p w:rsidR="00130A47" w:rsidRDefault="00130A47"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7D0"/>
    <w:rsid w:val="000B361C"/>
    <w:rsid w:val="001169EB"/>
    <w:rsid w:val="00130A47"/>
    <w:rsid w:val="001438BD"/>
    <w:rsid w:val="00145697"/>
    <w:rsid w:val="00193848"/>
    <w:rsid w:val="001E1174"/>
    <w:rsid w:val="001F0935"/>
    <w:rsid w:val="00201570"/>
    <w:rsid w:val="00210CD6"/>
    <w:rsid w:val="00227822"/>
    <w:rsid w:val="00285D5C"/>
    <w:rsid w:val="002910A8"/>
    <w:rsid w:val="002A60D4"/>
    <w:rsid w:val="002B48D5"/>
    <w:rsid w:val="002C327A"/>
    <w:rsid w:val="002D5158"/>
    <w:rsid w:val="002F64DA"/>
    <w:rsid w:val="002F728A"/>
    <w:rsid w:val="0031620E"/>
    <w:rsid w:val="00320C4F"/>
    <w:rsid w:val="00323052"/>
    <w:rsid w:val="0032564B"/>
    <w:rsid w:val="0036282A"/>
    <w:rsid w:val="00383F0C"/>
    <w:rsid w:val="003861C4"/>
    <w:rsid w:val="00395F05"/>
    <w:rsid w:val="00397842"/>
    <w:rsid w:val="003D09D1"/>
    <w:rsid w:val="003E138E"/>
    <w:rsid w:val="00424078"/>
    <w:rsid w:val="00430D21"/>
    <w:rsid w:val="00432090"/>
    <w:rsid w:val="0043289B"/>
    <w:rsid w:val="00440CFE"/>
    <w:rsid w:val="00466AB3"/>
    <w:rsid w:val="0047600D"/>
    <w:rsid w:val="004A5980"/>
    <w:rsid w:val="004B03D5"/>
    <w:rsid w:val="004D1C84"/>
    <w:rsid w:val="00501B4C"/>
    <w:rsid w:val="0051619D"/>
    <w:rsid w:val="00536369"/>
    <w:rsid w:val="0053718F"/>
    <w:rsid w:val="00574BF0"/>
    <w:rsid w:val="005766C5"/>
    <w:rsid w:val="00577204"/>
    <w:rsid w:val="0058252C"/>
    <w:rsid w:val="00613B39"/>
    <w:rsid w:val="00625D96"/>
    <w:rsid w:val="00632204"/>
    <w:rsid w:val="006344F5"/>
    <w:rsid w:val="00641FEC"/>
    <w:rsid w:val="00650453"/>
    <w:rsid w:val="00651A5A"/>
    <w:rsid w:val="00655A56"/>
    <w:rsid w:val="00685F2C"/>
    <w:rsid w:val="00692170"/>
    <w:rsid w:val="006B33F3"/>
    <w:rsid w:val="006B3705"/>
    <w:rsid w:val="006B6AEF"/>
    <w:rsid w:val="006D77A2"/>
    <w:rsid w:val="00714B99"/>
    <w:rsid w:val="007233A6"/>
    <w:rsid w:val="00744B6A"/>
    <w:rsid w:val="00746794"/>
    <w:rsid w:val="00747643"/>
    <w:rsid w:val="00754B09"/>
    <w:rsid w:val="00756081"/>
    <w:rsid w:val="00762682"/>
    <w:rsid w:val="00763FD8"/>
    <w:rsid w:val="00767999"/>
    <w:rsid w:val="00787888"/>
    <w:rsid w:val="00792366"/>
    <w:rsid w:val="007D4B2A"/>
    <w:rsid w:val="00805509"/>
    <w:rsid w:val="00813679"/>
    <w:rsid w:val="00872D1A"/>
    <w:rsid w:val="0089646D"/>
    <w:rsid w:val="008A0877"/>
    <w:rsid w:val="008A48BA"/>
    <w:rsid w:val="008A50D5"/>
    <w:rsid w:val="008C4755"/>
    <w:rsid w:val="008D17D0"/>
    <w:rsid w:val="008D38C6"/>
    <w:rsid w:val="00923240"/>
    <w:rsid w:val="00927854"/>
    <w:rsid w:val="00990386"/>
    <w:rsid w:val="009B5A13"/>
    <w:rsid w:val="009B6DC7"/>
    <w:rsid w:val="009D01BD"/>
    <w:rsid w:val="009D299B"/>
    <w:rsid w:val="009D576B"/>
    <w:rsid w:val="009F6FED"/>
    <w:rsid w:val="00A056BB"/>
    <w:rsid w:val="00A223C4"/>
    <w:rsid w:val="00A23B91"/>
    <w:rsid w:val="00A427F7"/>
    <w:rsid w:val="00A54A18"/>
    <w:rsid w:val="00AC3255"/>
    <w:rsid w:val="00AE1AB8"/>
    <w:rsid w:val="00B02565"/>
    <w:rsid w:val="00B0351C"/>
    <w:rsid w:val="00B20B4F"/>
    <w:rsid w:val="00B26FCB"/>
    <w:rsid w:val="00B501E4"/>
    <w:rsid w:val="00BB6F54"/>
    <w:rsid w:val="00BD1492"/>
    <w:rsid w:val="00C13A20"/>
    <w:rsid w:val="00C46405"/>
    <w:rsid w:val="00C81E52"/>
    <w:rsid w:val="00D26359"/>
    <w:rsid w:val="00D84A31"/>
    <w:rsid w:val="00D85154"/>
    <w:rsid w:val="00D856E0"/>
    <w:rsid w:val="00D86F05"/>
    <w:rsid w:val="00D919FC"/>
    <w:rsid w:val="00DA0C24"/>
    <w:rsid w:val="00DA1CC3"/>
    <w:rsid w:val="00E02A6A"/>
    <w:rsid w:val="00E03297"/>
    <w:rsid w:val="00E124BC"/>
    <w:rsid w:val="00E17689"/>
    <w:rsid w:val="00E637B5"/>
    <w:rsid w:val="00E718BF"/>
    <w:rsid w:val="00E76CFA"/>
    <w:rsid w:val="00E9096D"/>
    <w:rsid w:val="00E90F6D"/>
    <w:rsid w:val="00E94A61"/>
    <w:rsid w:val="00EB4411"/>
    <w:rsid w:val="00EC1806"/>
    <w:rsid w:val="00EC75E5"/>
    <w:rsid w:val="00EE503D"/>
    <w:rsid w:val="00F12860"/>
    <w:rsid w:val="00F23D24"/>
    <w:rsid w:val="00F24A70"/>
    <w:rsid w:val="00F539BD"/>
    <w:rsid w:val="00F64076"/>
    <w:rsid w:val="00F7525E"/>
    <w:rsid w:val="00F76BB2"/>
    <w:rsid w:val="00FA4BB5"/>
    <w:rsid w:val="00FC5389"/>
    <w:rsid w:val="00FD2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82889"/>
  <w15:chartTrackingRefBased/>
  <w15:docId w15:val="{991C46BD-1BA9-453F-A320-E49DDEA4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basedOn w:val="a"/>
    <w:uiPriority w:val="34"/>
    <w:qFormat/>
    <w:rsid w:val="00395F05"/>
    <w:pPr>
      <w:ind w:firstLineChars="200" w:firstLine="420"/>
    </w:pPr>
  </w:style>
  <w:style w:type="table" w:styleId="ad">
    <w:name w:val="Table Grid"/>
    <w:basedOn w:val="a1"/>
    <w:uiPriority w:val="39"/>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e">
    <w:name w:val="Balloon Text"/>
    <w:basedOn w:val="a"/>
    <w:link w:val="af"/>
    <w:uiPriority w:val="99"/>
    <w:semiHidden/>
    <w:unhideWhenUsed/>
    <w:rsid w:val="00632204"/>
    <w:pPr>
      <w:spacing w:after="0"/>
    </w:pPr>
    <w:rPr>
      <w:sz w:val="18"/>
      <w:szCs w:val="18"/>
    </w:rPr>
  </w:style>
  <w:style w:type="character" w:customStyle="1" w:styleId="af">
    <w:name w:val="批注框文本 字符"/>
    <w:basedOn w:val="a0"/>
    <w:link w:val="ae"/>
    <w:uiPriority w:val="99"/>
    <w:semiHidden/>
    <w:rsid w:val="00632204"/>
    <w:rPr>
      <w:rFonts w:ascii="Arial" w:eastAsia="宋体"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1809</Words>
  <Characters>10312</Characters>
  <Application>Microsoft Office Word</Application>
  <DocSecurity>0</DocSecurity>
  <Lines>85</Lines>
  <Paragraphs>24</Paragraphs>
  <ScaleCrop>false</ScaleCrop>
  <Company/>
  <LinksUpToDate>false</LinksUpToDate>
  <CharactersWithSpaces>12097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OPPO(Zhongda)</cp:lastModifiedBy>
  <cp:revision>6</cp:revision>
  <dcterms:created xsi:type="dcterms:W3CDTF">2021-05-10T04:04:00Z</dcterms:created>
  <dcterms:modified xsi:type="dcterms:W3CDTF">2021-05-10T08:47:00Z</dcterms:modified>
</cp:coreProperties>
</file>